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222"/>
        <w:ind w:firstLine="880" w:firstLineChars="200"/>
        <w:jc w:val="both"/>
        <w:rPr>
          <w:rFonts w:hint="eastAsia" w:ascii="黑体" w:hAnsi="黑体" w:eastAsia="黑体" w:cs="黑体"/>
          <w:sz w:val="44"/>
          <w:lang w:val="en-US" w:eastAsia="zh-CN"/>
        </w:rPr>
      </w:pPr>
      <w:bookmarkStart w:id="3" w:name="_GoBack"/>
      <w:bookmarkEnd w:id="3"/>
      <w:r>
        <w:rPr>
          <w:rFonts w:hint="eastAsia" w:ascii="黑体" w:hAnsi="黑体" w:eastAsia="黑体" w:cs="黑体"/>
          <w:sz w:val="44"/>
          <w:lang w:eastAsia="zh-CN"/>
        </w:rPr>
        <w:t>关于</w:t>
      </w:r>
      <w:bookmarkStart w:id="0" w:name="_Toc22012"/>
      <w:bookmarkStart w:id="1" w:name="_Toc13792"/>
      <w:bookmarkStart w:id="2" w:name="_Toc24155"/>
      <w:r>
        <w:rPr>
          <w:rFonts w:hint="eastAsia" w:ascii="黑体" w:hAnsi="黑体" w:eastAsia="黑体" w:cs="黑体"/>
          <w:sz w:val="44"/>
          <w:lang w:eastAsia="zh-CN"/>
        </w:rPr>
        <w:t>《定州市叮咛店中心卫生院</w:t>
      </w:r>
      <w:r>
        <w:rPr>
          <w:rFonts w:hint="eastAsia" w:ascii="黑体" w:hAnsi="黑体" w:eastAsia="黑体" w:cs="黑体"/>
          <w:sz w:val="44"/>
          <w:lang w:val="en-US" w:eastAsia="zh-CN"/>
        </w:rPr>
        <w:t>DSA应用</w:t>
      </w:r>
    </w:p>
    <w:p>
      <w:pPr>
        <w:jc w:val="center"/>
        <w:rPr>
          <w:rFonts w:ascii="仿宋_GB2312" w:hAnsi="仿宋_GB2312" w:eastAsia="仿宋_GB2312" w:cs="仿宋_GB2312"/>
          <w:lang w:eastAsia="zh-CN"/>
        </w:rPr>
      </w:pPr>
      <w:r>
        <w:rPr>
          <w:rFonts w:hint="eastAsia" w:ascii="黑体" w:hAnsi="黑体" w:eastAsia="黑体" w:cs="黑体"/>
          <w:sz w:val="44"/>
          <w:lang w:eastAsia="zh-CN"/>
        </w:rPr>
        <w:t>项目</w:t>
      </w:r>
      <w:bookmarkEnd w:id="0"/>
      <w:bookmarkEnd w:id="1"/>
      <w:bookmarkEnd w:id="2"/>
      <w:r>
        <w:rPr>
          <w:rFonts w:hint="eastAsia" w:ascii="黑体" w:hAnsi="黑体" w:eastAsia="黑体" w:cs="黑体"/>
          <w:sz w:val="44"/>
          <w:lang w:eastAsia="zh-CN"/>
        </w:rPr>
        <w:t>环境影响报告表》的批复</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5120" w:firstLineChars="1600"/>
        <w:textAlignment w:val="auto"/>
        <w:rPr>
          <w:rFonts w:hint="eastAsia" w:ascii="仿宋_GB2312" w:hAnsi="仿宋_GB2312" w:eastAsia="仿宋_GB2312" w:cs="仿宋_GB2312"/>
          <w:color w:val="auto"/>
          <w:lang w:eastAsia="zh-CN"/>
        </w:rPr>
      </w:pPr>
      <w:r>
        <w:rPr>
          <w:rFonts w:hint="eastAsia"/>
          <w:highlight w:val="yellow"/>
          <w:lang w:eastAsia="zh-CN"/>
        </w:rPr>
        <w:t>定环</w:t>
      </w:r>
      <w:r>
        <w:rPr>
          <w:highlight w:val="yellow"/>
          <w:lang w:eastAsia="zh-CN"/>
        </w:rPr>
        <w:t>辐〔20</w:t>
      </w:r>
      <w:r>
        <w:rPr>
          <w:rFonts w:hint="eastAsia"/>
          <w:highlight w:val="yellow"/>
          <w:lang w:eastAsia="zh-CN"/>
        </w:rPr>
        <w:t>2</w:t>
      </w:r>
      <w:r>
        <w:rPr>
          <w:rFonts w:hint="eastAsia"/>
          <w:highlight w:val="yellow"/>
          <w:lang w:val="en-US" w:eastAsia="zh-CN"/>
        </w:rPr>
        <w:t>6</w:t>
      </w:r>
      <w:r>
        <w:rPr>
          <w:highlight w:val="yellow"/>
          <w:lang w:eastAsia="zh-CN"/>
        </w:rPr>
        <w:t>〕</w:t>
      </w:r>
      <w:r>
        <w:rPr>
          <w:rFonts w:hint="eastAsia"/>
          <w:highlight w:val="yellow"/>
          <w:lang w:eastAsia="zh-CN"/>
        </w:rPr>
        <w:t>00</w:t>
      </w:r>
      <w:r>
        <w:rPr>
          <w:rFonts w:hint="eastAsia"/>
          <w:highlight w:val="yellow"/>
          <w:lang w:val="en-US" w:eastAsia="zh-CN"/>
        </w:rPr>
        <w:t>1</w:t>
      </w:r>
      <w:r>
        <w:rPr>
          <w:highlight w:val="yellow"/>
          <w:lang w:eastAsia="zh-CN"/>
        </w:rPr>
        <w:t>号</w:t>
      </w:r>
    </w:p>
    <w:p>
      <w:pPr>
        <w:pStyle w:val="2"/>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ascii="仿宋_GB2312" w:hAnsi="仿宋_GB2312" w:eastAsia="仿宋_GB2312" w:cs="仿宋_GB2312"/>
          <w:color w:val="auto"/>
          <w:lang w:eastAsia="zh-CN"/>
        </w:rPr>
      </w:pPr>
      <w:r>
        <w:rPr>
          <w:rFonts w:hint="eastAsia" w:ascii="仿宋_GB2312" w:hAnsi="仿宋_GB2312" w:eastAsia="仿宋_GB2312" w:cs="仿宋_GB2312"/>
          <w:color w:val="auto"/>
          <w:lang w:eastAsia="zh-CN"/>
        </w:rPr>
        <w:t>定州市叮咛店中心卫生院：</w:t>
      </w:r>
    </w:p>
    <w:p>
      <w:pPr>
        <w:keepNext w:val="0"/>
        <w:keepLines w:val="0"/>
        <w:pageBreakBefore w:val="0"/>
        <w:widowControl w:val="0"/>
        <w:kinsoku/>
        <w:wordWrap/>
        <w:overflowPunct/>
        <w:topLinePunct w:val="0"/>
        <w:autoSpaceDE w:val="0"/>
        <w:autoSpaceDN w:val="0"/>
        <w:bidi w:val="0"/>
        <w:adjustRightInd/>
        <w:snapToGrid/>
        <w:spacing w:line="576" w:lineRule="exact"/>
        <w:ind w:firstLine="640" w:firstLineChars="200"/>
        <w:jc w:val="both"/>
        <w:textAlignment w:val="auto"/>
        <w:rPr>
          <w:rFonts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你单位所报《定州市叮咛店中心卫生院</w:t>
      </w:r>
      <w:r>
        <w:rPr>
          <w:rFonts w:hint="eastAsia" w:ascii="仿宋_GB2312" w:hAnsi="仿宋_GB2312" w:eastAsia="仿宋_GB2312" w:cs="仿宋_GB2312"/>
          <w:sz w:val="32"/>
          <w:szCs w:val="32"/>
          <w:lang w:val="en-US" w:eastAsia="zh-CN"/>
        </w:rPr>
        <w:t>DSA应用</w:t>
      </w:r>
      <w:r>
        <w:rPr>
          <w:rFonts w:hint="eastAsia" w:ascii="仿宋_GB2312" w:hAnsi="仿宋_GB2312" w:eastAsia="仿宋_GB2312" w:cs="仿宋_GB2312"/>
          <w:sz w:val="32"/>
          <w:szCs w:val="32"/>
          <w:lang w:eastAsia="zh-CN"/>
        </w:rPr>
        <w:t>项目环境影响报告表》及相关材料收悉。经研究，批复如下：</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firstLineChars="200"/>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一、项目主要建设内容：</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jc w:val="both"/>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本项目位于定州市</w:t>
      </w:r>
      <w:r>
        <w:rPr>
          <w:rFonts w:hint="eastAsia" w:ascii="仿宋_GB2312" w:hAnsi="仿宋_GB2312" w:eastAsia="仿宋_GB2312" w:cs="仿宋_GB2312"/>
          <w:sz w:val="32"/>
          <w:szCs w:val="32"/>
          <w:lang w:eastAsia="zh-CN"/>
        </w:rPr>
        <w:t>叮咛店中心卫生院急诊及发热筛查门诊楼一层</w:t>
      </w:r>
      <w:r>
        <w:rPr>
          <w:rFonts w:hint="eastAsia" w:ascii="仿宋_GB2312" w:hAnsi="仿宋_GB2312" w:eastAsia="仿宋_GB2312" w:cs="仿宋_GB2312"/>
          <w:sz w:val="32"/>
          <w:szCs w:val="32"/>
          <w:lang w:val="en-US" w:eastAsia="zh-CN"/>
        </w:rPr>
        <w:t>DSA室</w:t>
      </w:r>
      <w:r>
        <w:rPr>
          <w:rFonts w:hint="eastAsia" w:ascii="仿宋_GB2312" w:hAnsi="仿宋_GB2312" w:eastAsia="仿宋_GB2312" w:cs="仿宋_GB2312"/>
          <w:lang w:eastAsia="zh-CN"/>
        </w:rPr>
        <w:t>，主要建设内容为：新增一台医用血管造影</w:t>
      </w:r>
      <w:r>
        <w:rPr>
          <w:rFonts w:hint="eastAsia" w:ascii="仿宋_GB2312" w:hAnsi="仿宋_GB2312" w:eastAsia="仿宋_GB2312" w:cs="仿宋_GB2312"/>
          <w:lang w:val="en-US" w:eastAsia="zh-CN"/>
        </w:rPr>
        <w:t>X射线机（</w:t>
      </w:r>
      <w:r>
        <w:rPr>
          <w:rFonts w:hint="eastAsia" w:ascii="仿宋_GB2312" w:hAnsi="仿宋_GB2312" w:eastAsia="仿宋_GB2312" w:cs="仿宋_GB2312"/>
          <w:sz w:val="32"/>
          <w:szCs w:val="32"/>
          <w:lang w:val="en-US" w:eastAsia="zh-CN"/>
        </w:rPr>
        <w:t>DSA</w:t>
      </w:r>
      <w:r>
        <w:rPr>
          <w:rFonts w:hint="eastAsia" w:ascii="仿宋_GB2312" w:hAnsi="仿宋_GB2312" w:eastAsia="仿宋_GB2312" w:cs="仿宋_GB2312"/>
          <w:lang w:val="en-US" w:eastAsia="zh-CN"/>
        </w:rPr>
        <w:t>），型号CG0-2100plus</w:t>
      </w:r>
      <w:r>
        <w:rPr>
          <w:rFonts w:hint="eastAsia" w:ascii="仿宋_GB2312" w:hAnsi="仿宋_GB2312" w:eastAsia="仿宋_GB2312" w:cs="仿宋_GB2312"/>
          <w:lang w:eastAsia="zh-CN"/>
        </w:rPr>
        <w:t>。项目总投资</w:t>
      </w:r>
      <w:r>
        <w:rPr>
          <w:rFonts w:hint="eastAsia" w:ascii="仿宋_GB2312" w:hAnsi="仿宋_GB2312" w:eastAsia="仿宋_GB2312" w:cs="仿宋_GB2312"/>
          <w:lang w:val="en-US" w:eastAsia="zh-CN"/>
        </w:rPr>
        <w:t>502.1</w:t>
      </w:r>
      <w:r>
        <w:rPr>
          <w:rFonts w:hint="eastAsia" w:ascii="仿宋_GB2312" w:hAnsi="仿宋_GB2312" w:eastAsia="仿宋_GB2312" w:cs="仿宋_GB2312"/>
          <w:lang w:eastAsia="zh-CN"/>
        </w:rPr>
        <w:t>万元，其中环保投资10万元。结合项目环境影响报告表专家评审意见，我局原则同意该项目按照专家评审复核后的环境影响报告表中所列内容进行建设。</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firstLineChars="200"/>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二、项目在运行中应重点做好的工作：</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lang w:eastAsia="zh-CN"/>
        </w:rPr>
        <w:t>（一）严格落实报告表中提出的辐射安全标准，</w:t>
      </w:r>
      <w:r>
        <w:rPr>
          <w:rFonts w:hint="eastAsia" w:ascii="仿宋_GB2312" w:hAnsi="仿宋_GB2312" w:eastAsia="仿宋_GB2312" w:cs="仿宋_GB2312"/>
          <w:color w:val="auto"/>
          <w:lang w:eastAsia="zh-CN"/>
        </w:rPr>
        <w:t>确保</w:t>
      </w:r>
      <w:r>
        <w:rPr>
          <w:rFonts w:hint="eastAsia" w:ascii="仿宋_GB2312" w:hAnsi="仿宋_GB2312" w:eastAsia="仿宋_GB2312" w:cs="仿宋_GB2312"/>
          <w:sz w:val="32"/>
          <w:szCs w:val="32"/>
          <w:lang w:val="en-US" w:eastAsia="zh-CN"/>
        </w:rPr>
        <w:t>DSA室机房达到《放射诊断放射防护要求》（GBZ130-2020）要求。</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（二）确保职业人员、公众人员所受剂量和辐射工作场所周围剂量不超过《电离辐射防护与辐射源安全基本标准》（GB18871-2002）的标准限值。</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jc w:val="both"/>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三、确保项目实施后满足其他环境管理要求。在工程施工和运营过程中，建立畅通的公众参与平台，及时解决公众担忧的环境问题，主动接受社会监督。</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firstLineChars="200"/>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四、严格落实各项建设项目环境管理要求。该项目日常环境监督管理工作由属地生态环境主管部门负责，并按规定接受各级生态环境主管部门的监督检查。</w:t>
      </w:r>
    </w:p>
    <w:p>
      <w:pPr>
        <w:pStyle w:val="2"/>
        <w:keepNext w:val="0"/>
        <w:keepLines w:val="0"/>
        <w:pageBreakBefore w:val="0"/>
        <w:widowControl w:val="0"/>
        <w:kinsoku/>
        <w:wordWrap/>
        <w:overflowPunct/>
        <w:topLinePunct w:val="0"/>
        <w:autoSpaceDE w:val="0"/>
        <w:autoSpaceDN w:val="0"/>
        <w:bidi w:val="0"/>
        <w:adjustRightInd/>
        <w:snapToGrid/>
        <w:spacing w:line="576" w:lineRule="exact"/>
        <w:ind w:firstLine="640"/>
        <w:jc w:val="both"/>
        <w:textAlignment w:val="auto"/>
        <w:rPr>
          <w:rFonts w:ascii="仿宋_GB2312" w:hAnsi="仿宋_GB2312" w:eastAsia="仿宋_GB2312" w:cs="仿宋_GB2312"/>
          <w:lang w:eastAsia="zh-CN"/>
        </w:rPr>
      </w:pPr>
    </w:p>
    <w:p>
      <w:pPr>
        <w:pStyle w:val="2"/>
        <w:keepNext w:val="0"/>
        <w:keepLines w:val="0"/>
        <w:pageBreakBefore w:val="0"/>
        <w:widowControl w:val="0"/>
        <w:kinsoku/>
        <w:wordWrap/>
        <w:overflowPunct/>
        <w:topLinePunct w:val="0"/>
        <w:autoSpaceDE w:val="0"/>
        <w:autoSpaceDN w:val="0"/>
        <w:bidi w:val="0"/>
        <w:adjustRightInd/>
        <w:snapToGrid/>
        <w:spacing w:line="576" w:lineRule="exact"/>
        <w:jc w:val="both"/>
        <w:textAlignment w:val="auto"/>
        <w:rPr>
          <w:rFonts w:ascii="仿宋_GB2312" w:hAnsi="仿宋_GB2312" w:eastAsia="仿宋_GB2312" w:cs="仿宋_GB2312"/>
          <w:lang w:eastAsia="zh-CN"/>
        </w:rPr>
      </w:pPr>
    </w:p>
    <w:p>
      <w:pPr>
        <w:pStyle w:val="2"/>
        <w:keepNext w:val="0"/>
        <w:keepLines w:val="0"/>
        <w:pageBreakBefore w:val="0"/>
        <w:widowControl w:val="0"/>
        <w:kinsoku/>
        <w:wordWrap/>
        <w:overflowPunct/>
        <w:topLinePunct w:val="0"/>
        <w:autoSpaceDE w:val="0"/>
        <w:autoSpaceDN w:val="0"/>
        <w:bidi w:val="0"/>
        <w:adjustRightInd/>
        <w:snapToGrid/>
        <w:spacing w:line="576" w:lineRule="exact"/>
        <w:jc w:val="center"/>
        <w:textAlignment w:val="auto"/>
        <w:rPr>
          <w:rFonts w:ascii="仿宋_GB2312" w:hAnsi="仿宋_GB2312" w:eastAsia="仿宋_GB2312" w:cs="仿宋_GB2312"/>
          <w:lang w:eastAsia="zh-CN"/>
        </w:rPr>
      </w:pPr>
      <w:r>
        <w:rPr>
          <w:rFonts w:hint="eastAsia" w:ascii="仿宋_GB2312" w:hAnsi="仿宋_GB2312" w:eastAsia="仿宋_GB2312" w:cs="仿宋_GB2312"/>
          <w:lang w:eastAsia="zh-CN"/>
        </w:rPr>
        <w:t xml:space="preserve">                            202</w:t>
      </w:r>
      <w:r>
        <w:rPr>
          <w:rFonts w:hint="eastAsia" w:ascii="仿宋_GB2312" w:hAnsi="仿宋_GB2312" w:eastAsia="仿宋_GB2312" w:cs="仿宋_GB2312"/>
          <w:lang w:val="en-US" w:eastAsia="zh-CN"/>
        </w:rPr>
        <w:t>6</w:t>
      </w:r>
      <w:r>
        <w:rPr>
          <w:rFonts w:hint="eastAsia" w:ascii="仿宋_GB2312" w:hAnsi="仿宋_GB2312" w:eastAsia="仿宋_GB2312" w:cs="仿宋_GB2312"/>
          <w:lang w:eastAsia="zh-CN"/>
        </w:rPr>
        <w:t>年</w:t>
      </w:r>
      <w:r>
        <w:rPr>
          <w:rFonts w:hint="eastAsia" w:ascii="仿宋_GB2312" w:hAnsi="仿宋_GB2312" w:eastAsia="仿宋_GB2312" w:cs="仿宋_GB2312"/>
          <w:lang w:val="en-US" w:eastAsia="zh-CN"/>
        </w:rPr>
        <w:t>2</w:t>
      </w:r>
      <w:r>
        <w:rPr>
          <w:rFonts w:hint="eastAsia" w:ascii="仿宋_GB2312" w:hAnsi="仿宋_GB2312" w:eastAsia="仿宋_GB2312" w:cs="仿宋_GB2312"/>
          <w:lang w:eastAsia="zh-CN"/>
        </w:rPr>
        <w:t>月</w:t>
      </w:r>
      <w:r>
        <w:rPr>
          <w:rFonts w:hint="eastAsia" w:ascii="仿宋_GB2312" w:hAnsi="仿宋_GB2312" w:eastAsia="仿宋_GB2312" w:cs="仿宋_GB2312"/>
          <w:lang w:val="en-US" w:eastAsia="zh-CN"/>
        </w:rPr>
        <w:t>4</w:t>
      </w:r>
      <w:r>
        <w:rPr>
          <w:rFonts w:hint="eastAsia" w:ascii="仿宋_GB2312" w:hAnsi="仿宋_GB2312" w:eastAsia="仿宋_GB2312" w:cs="仿宋_GB2312"/>
          <w:lang w:eastAsia="zh-CN"/>
        </w:rPr>
        <w:t>日</w:t>
      </w:r>
    </w:p>
    <w:p>
      <w:pPr>
        <w:pStyle w:val="2"/>
        <w:keepNext w:val="0"/>
        <w:keepLines w:val="0"/>
        <w:pageBreakBefore w:val="0"/>
        <w:widowControl w:val="0"/>
        <w:kinsoku/>
        <w:wordWrap/>
        <w:overflowPunct/>
        <w:topLinePunct w:val="0"/>
        <w:autoSpaceDE w:val="0"/>
        <w:autoSpaceDN w:val="0"/>
        <w:bidi w:val="0"/>
        <w:adjustRightInd/>
        <w:snapToGrid/>
        <w:spacing w:line="576" w:lineRule="exact"/>
        <w:textAlignment w:val="auto"/>
        <w:rPr>
          <w:rFonts w:ascii="仿宋_GB2312" w:hAnsi="仿宋_GB2312" w:eastAsia="仿宋_GB2312" w:cs="仿宋_GB2312"/>
        </w:rPr>
      </w:pPr>
    </w:p>
    <w:sectPr>
      <w:pgSz w:w="11910" w:h="16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47D"/>
    <w:rsid w:val="009A747D"/>
    <w:rsid w:val="009E4E5D"/>
    <w:rsid w:val="00AD3046"/>
    <w:rsid w:val="00C272B5"/>
    <w:rsid w:val="053C092C"/>
    <w:rsid w:val="06516E8A"/>
    <w:rsid w:val="070A3645"/>
    <w:rsid w:val="089118C6"/>
    <w:rsid w:val="17432F0A"/>
    <w:rsid w:val="1D8A15EF"/>
    <w:rsid w:val="204C28E8"/>
    <w:rsid w:val="216809A5"/>
    <w:rsid w:val="22745B19"/>
    <w:rsid w:val="2585116C"/>
    <w:rsid w:val="2E1A49A3"/>
    <w:rsid w:val="2EC617EF"/>
    <w:rsid w:val="30485050"/>
    <w:rsid w:val="330A4F80"/>
    <w:rsid w:val="350108BC"/>
    <w:rsid w:val="3C3E4A59"/>
    <w:rsid w:val="3C83657F"/>
    <w:rsid w:val="3DB008F0"/>
    <w:rsid w:val="3FB36D6A"/>
    <w:rsid w:val="4D99376E"/>
    <w:rsid w:val="4E1158E5"/>
    <w:rsid w:val="4EFD2267"/>
    <w:rsid w:val="5012113E"/>
    <w:rsid w:val="52841C57"/>
    <w:rsid w:val="565E1E48"/>
    <w:rsid w:val="56FD7C37"/>
    <w:rsid w:val="669427D9"/>
    <w:rsid w:val="675B5D6B"/>
    <w:rsid w:val="6A4548E3"/>
    <w:rsid w:val="6C2B13AC"/>
    <w:rsid w:val="70A41DA3"/>
    <w:rsid w:val="73986FF2"/>
    <w:rsid w:val="798D7B93"/>
    <w:rsid w:val="79D70648"/>
    <w:rsid w:val="7A10566E"/>
    <w:rsid w:val="7A4631C4"/>
    <w:rsid w:val="7CA744FD"/>
    <w:rsid w:val="7D393E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 w:hAnsi="仿宋" w:eastAsia="仿宋" w:cs="仿宋"/>
      <w:sz w:val="22"/>
      <w:szCs w:val="22"/>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
    <w:qFormat/>
    <w:uiPriority w:val="1"/>
    <w:rPr>
      <w:sz w:val="32"/>
      <w:szCs w:val="32"/>
    </w:rPr>
  </w:style>
  <w:style w:type="table" w:customStyle="1" w:styleId="5">
    <w:name w:val="Table Normal"/>
    <w:semiHidden/>
    <w:unhideWhenUsed/>
    <w:qFormat/>
    <w:uiPriority w:val="2"/>
    <w:tblPr>
      <w:tblCellMar>
        <w:top w:w="0" w:type="dxa"/>
        <w:left w:w="0" w:type="dxa"/>
        <w:bottom w:w="0" w:type="dxa"/>
        <w:right w:w="0" w:type="dxa"/>
      </w:tblCellMar>
    </w:tblPr>
  </w:style>
  <w:style w:type="paragraph" w:styleId="6">
    <w:name w:val="List Paragraph"/>
    <w:basedOn w:val="1"/>
    <w:qFormat/>
    <w:uiPriority w:val="1"/>
  </w:style>
  <w:style w:type="paragraph" w:customStyle="1" w:styleId="7">
    <w:name w:val="Table Paragraph"/>
    <w:basedOn w:val="1"/>
    <w:qFormat/>
    <w:uiPriority w:val="1"/>
  </w:style>
  <w:style w:type="character" w:customStyle="1" w:styleId="8">
    <w:name w:val="正文文本 Char"/>
    <w:link w:val="2"/>
    <w:qFormat/>
    <w:uiPriority w:val="1"/>
    <w:rPr>
      <w:rFonts w:ascii="仿宋" w:hAnsi="仿宋" w:eastAsia="仿宋" w:cs="仿宋"/>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142</Words>
  <Characters>813</Characters>
  <Lines>6</Lines>
  <Paragraphs>1</Paragraphs>
  <TotalTime>2</TotalTime>
  <ScaleCrop>false</ScaleCrop>
  <LinksUpToDate>false</LinksUpToDate>
  <CharactersWithSpaces>954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2024-12-16T02:50:00Z</dcterms:created>
  <dc:creator>Administrator</dc:creator>
  <cp:lastModifiedBy>Administrator</cp:lastModifiedBy>
  <cp:lastPrinted>2026-02-04T03:25:19Z</cp:lastPrinted>
  <dcterms:modified xsi:type="dcterms:W3CDTF">2026-02-04T03:26:22Z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2023-10-18T00:00:00Z</vt:filetime>
  </property>
  <property fmtid="{D5CDD505-2E9C-101B-9397-08002B2CF9AE}" pid="3" name="Creator">
    <vt:lpwstr>WPS 文字</vt:lpwstr>
  </property>
  <property fmtid="{D5CDD505-2E9C-101B-9397-08002B2CF9AE}" pid="4" name="LastSaved">
    <vt:filetime>2024-12-16T00:00:00Z</vt:filetime>
  </property>
  <property fmtid="{D5CDD505-2E9C-101B-9397-08002B2CF9AE}" pid="5" name="KSOProductBuildVer">
    <vt:lpwstr>2052-11.8.2.9022</vt:lpwstr>
  </property>
  <property fmtid="{D5CDD505-2E9C-101B-9397-08002B2CF9AE}" pid="6" name="ICV">
    <vt:lpwstr>DF433B9704AE423CAF39486512431EED_13</vt:lpwstr>
  </property>
  <property fmtid="{D5CDD505-2E9C-101B-9397-08002B2CF9AE}" pid="7" name="KSOTemplateDocerSaveRecord">
    <vt:lpwstr>eyJoZGlkIjoiM2E1MjUzMjRkYjY4MTAxOTEzZTg3NTVjNjhkZTlhOTUiLCJ1c2VySWQiOiIxMDE3NTU4MTkwIn0=</vt:lpwstr>
  </property>
</Properties>
</file>