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right="0"/>
        <w:textAlignment w:val="auto"/>
        <w:rPr>
          <w:rFonts w:ascii="Times New Roman"/>
          <w:sz w:val="2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right="0"/>
        <w:textAlignment w:val="auto"/>
        <w:rPr>
          <w:rFonts w:ascii="Times New Roman"/>
          <w:sz w:val="2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right="0"/>
        <w:textAlignment w:val="auto"/>
        <w:rPr>
          <w:rFonts w:ascii="Times New Roman"/>
          <w:sz w:val="2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right="0"/>
        <w:textAlignment w:val="auto"/>
        <w:rPr>
          <w:rFonts w:ascii="Times New Roman"/>
          <w:sz w:val="2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right="0"/>
        <w:textAlignment w:val="auto"/>
        <w:rPr>
          <w:rFonts w:ascii="Times New Roman"/>
          <w:sz w:val="2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right="0"/>
        <w:textAlignment w:val="auto"/>
        <w:rPr>
          <w:rFonts w:ascii="Times New Roman"/>
          <w:sz w:val="2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right="0"/>
        <w:textAlignment w:val="auto"/>
        <w:rPr>
          <w:rFonts w:ascii="Times New Roman"/>
          <w:sz w:val="2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2"/>
        <w:ind w:left="0" w:right="0"/>
        <w:jc w:val="center"/>
        <w:textAlignment w:val="auto"/>
        <w:rPr>
          <w:highlight w:val="yellow"/>
        </w:rPr>
      </w:pPr>
      <w:r>
        <w:rPr>
          <w:rFonts w:hint="eastAsia"/>
          <w:highlight w:val="yellow"/>
          <w:lang w:val="en-US" w:eastAsia="zh-CN"/>
        </w:rPr>
        <w:t xml:space="preserve">                             定环</w:t>
      </w:r>
      <w:r>
        <w:rPr>
          <w:highlight w:val="yellow"/>
        </w:rPr>
        <w:t>辐〔20</w:t>
      </w:r>
      <w:r>
        <w:rPr>
          <w:rFonts w:hint="eastAsia"/>
          <w:highlight w:val="yellow"/>
          <w:lang w:val="en-US" w:eastAsia="zh-CN"/>
        </w:rPr>
        <w:t>25</w:t>
      </w:r>
      <w:r>
        <w:rPr>
          <w:highlight w:val="yellow"/>
        </w:rPr>
        <w:t>〕</w:t>
      </w:r>
      <w:r>
        <w:rPr>
          <w:rFonts w:hint="eastAsia"/>
          <w:highlight w:val="yellow"/>
          <w:lang w:val="en-US" w:eastAsia="zh-CN"/>
        </w:rPr>
        <w:t>004</w:t>
      </w:r>
      <w:r>
        <w:rPr>
          <w:highlight w:val="yellow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"/>
        <w:ind w:left="0" w:right="0"/>
        <w:textAlignment w:val="auto"/>
        <w:rPr>
          <w:sz w:val="2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0"/>
        <w:jc w:val="center"/>
        <w:textAlignment w:val="auto"/>
        <w:rPr>
          <w:rFonts w:hint="eastAsia" w:ascii="黑体" w:hAnsi="黑体" w:eastAsia="黑体" w:cs="黑体"/>
          <w:sz w:val="44"/>
          <w:lang w:eastAsia="zh-CN"/>
        </w:rPr>
      </w:pPr>
      <w:r>
        <w:rPr>
          <w:rFonts w:hint="eastAsia" w:ascii="黑体" w:hAnsi="黑体" w:eastAsia="黑体" w:cs="黑体"/>
          <w:sz w:val="44"/>
        </w:rPr>
        <w:t>关于</w:t>
      </w:r>
      <w:bookmarkStart w:id="0" w:name="_Toc24155"/>
      <w:bookmarkStart w:id="1" w:name="_Toc13792"/>
      <w:bookmarkStart w:id="2" w:name="_Toc22012"/>
      <w:r>
        <w:rPr>
          <w:rFonts w:hint="eastAsia" w:ascii="黑体" w:hAnsi="黑体" w:eastAsia="黑体" w:cs="黑体"/>
          <w:sz w:val="44"/>
          <w:lang w:eastAsia="zh-CN"/>
        </w:rPr>
        <w:t>国能定州新能源有限公司定州市集中式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0"/>
        <w:jc w:val="center"/>
        <w:textAlignment w:val="auto"/>
        <w:rPr>
          <w:rFonts w:hint="eastAsia" w:ascii="黑体" w:hAnsi="黑体" w:eastAsia="黑体" w:cs="黑体"/>
          <w:sz w:val="44"/>
          <w:lang w:val="en-US" w:eastAsia="zh-CN"/>
        </w:rPr>
      </w:pPr>
      <w:r>
        <w:rPr>
          <w:rFonts w:hint="eastAsia" w:ascii="黑体" w:hAnsi="黑体" w:eastAsia="黑体" w:cs="黑体"/>
          <w:sz w:val="44"/>
          <w:lang w:eastAsia="zh-CN"/>
        </w:rPr>
        <w:t>风力发电（三期</w:t>
      </w:r>
      <w:r>
        <w:rPr>
          <w:rFonts w:hint="eastAsia" w:ascii="黑体" w:hAnsi="黑体" w:eastAsia="黑体" w:cs="黑体"/>
          <w:sz w:val="44"/>
          <w:lang w:val="en-US" w:eastAsia="zh-CN"/>
        </w:rPr>
        <w:t>150</w:t>
      </w:r>
      <w:r>
        <w:rPr>
          <w:rFonts w:hint="eastAsia" w:ascii="黑体" w:hAnsi="黑体" w:eastAsia="黑体" w:cs="黑体"/>
          <w:sz w:val="44"/>
          <w:lang w:eastAsia="zh-CN"/>
        </w:rPr>
        <w:t>MW）配套</w:t>
      </w:r>
      <w:r>
        <w:rPr>
          <w:rFonts w:hint="eastAsia" w:ascii="黑体" w:hAnsi="黑体" w:eastAsia="黑体" w:cs="黑体"/>
          <w:sz w:val="44"/>
          <w:lang w:val="en-US" w:eastAsia="zh-CN"/>
        </w:rPr>
        <w:t>220KV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0"/>
        <w:jc w:val="center"/>
        <w:textAlignment w:val="auto"/>
        <w:rPr>
          <w:rFonts w:hint="eastAsia" w:ascii="方正小标宋简体" w:eastAsia="方正小标宋简体"/>
          <w:sz w:val="44"/>
        </w:rPr>
      </w:pPr>
      <w:r>
        <w:rPr>
          <w:rFonts w:hint="eastAsia" w:ascii="黑体" w:hAnsi="黑体" w:eastAsia="黑体" w:cs="黑体"/>
          <w:sz w:val="44"/>
          <w:lang w:eastAsia="zh-CN"/>
        </w:rPr>
        <w:t>升压站工程</w:t>
      </w:r>
      <w:bookmarkEnd w:id="0"/>
      <w:bookmarkEnd w:id="1"/>
      <w:bookmarkEnd w:id="2"/>
      <w:r>
        <w:rPr>
          <w:rFonts w:hint="eastAsia" w:ascii="黑体" w:hAnsi="黑体" w:eastAsia="黑体" w:cs="黑体"/>
          <w:sz w:val="44"/>
        </w:rPr>
        <w:t>的批复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国能定州新能源有限公司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你单位所报《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国能定州新能源有限公司定州市集中式风力发电（三期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MW）配套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220KV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升压站工程建设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项目环境影响报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76" w:lineRule="exact"/>
        <w:ind w:left="0" w:right="0" w:firstLine="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及相关材料收悉。经研究，批复如下：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一、项目主要建设内容：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本项目位于定州市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东亭镇土厚村西南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360m处，为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定州市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MW集中式风力发电项目（三期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MW）配套工程，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主要建设内容为：新建1座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220KV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升压站，设置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1台主变压器，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电压等级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220kV/35kV，主变容量150MVa。项目总投资2266.71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万元，其中环保投资70万元。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highlight w:val="none"/>
          <w:lang w:val="en-US" w:eastAsia="zh-CN"/>
        </w:rPr>
        <w:t>已由定州市行政审批局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核准（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定行审项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highlight w:val="none"/>
          <w:lang w:eastAsia="zh-CN"/>
        </w:rPr>
        <w:t>核许〔202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highlight w:val="none"/>
          <w:lang w:eastAsia="zh-CN"/>
        </w:rPr>
        <w:t>〕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highlight w:val="none"/>
          <w:lang w:val="en-US" w:eastAsia="zh-CN"/>
        </w:rPr>
        <w:t>010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highlight w:val="none"/>
          <w:lang w:eastAsia="zh-CN"/>
        </w:rPr>
        <w:t>号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）。结合项目环境影响报告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专家评审意见，我局原则同意该项目按照专家评审复核后的环境影响报告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中所列内容进行建设。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二、项目在运行中应重点做好的工作：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（一）加强施工期间的环境保护管理工作，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严格控制施工范围，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合理安排施工时间，采取有效防尘、降噪措施，确保施工场界噪声符合《建筑施工场界环境噪声排放标准》（GB12523-2011）标准的要求，确保施工扬尘达到《施工场地扬尘排放标准》（DB13/2934-2019）要求。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（二）严格落实报告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中提出的电磁辐射、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噪声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环保治理措施，确保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升压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站评价范围内工频电场强度、工频磁感应强度符合《电磁环境控制限值》(GB8702-2014)中相应限值要求；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升压站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厂界噪声符合《工业企业厂界环境噪声排放标准》(GB12348-2008)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中1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类标准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限值要求。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（三）产生的废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矿物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油、废旧蓄电池等危险废物要按报告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及有关规定要求送交有资质的单位妥善处置。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三、确保项目实施后满足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其他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环境管理要求。在工程施工和运营过程中，建立畅通的公众参与平台，及时解决公众担忧的环境问题，主动接受社会监督。落实施工期和运营期的污染源和环境监测计划。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四、严格落实各项建设项目环境管理要求。该项目日常环境监督管理工作由属地生态环境主管部门负责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并按规定接受各级生态环境主管部门的监督检查。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bookmarkStart w:id="3" w:name="_GoBack"/>
      <w:bookmarkEnd w:id="3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/>
        <w:jc w:val="center"/>
        <w:textAlignment w:val="auto"/>
        <w:rPr>
          <w:rFonts w:hint="default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 xml:space="preserve">                            2025年10月20日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6" w:lineRule="exact"/>
        <w:ind w:left="0"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10" w:h="16840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C092C"/>
    <w:rsid w:val="070A3645"/>
    <w:rsid w:val="1D8A15EF"/>
    <w:rsid w:val="204C28E8"/>
    <w:rsid w:val="216809A5"/>
    <w:rsid w:val="2585116C"/>
    <w:rsid w:val="2E1A49A3"/>
    <w:rsid w:val="30485050"/>
    <w:rsid w:val="330A4F80"/>
    <w:rsid w:val="3C3E4A59"/>
    <w:rsid w:val="3C83657F"/>
    <w:rsid w:val="3FB36D6A"/>
    <w:rsid w:val="4D99376E"/>
    <w:rsid w:val="4E1158E5"/>
    <w:rsid w:val="4EFD2267"/>
    <w:rsid w:val="52841C57"/>
    <w:rsid w:val="565E1E48"/>
    <w:rsid w:val="56FD7C37"/>
    <w:rsid w:val="675B5D6B"/>
    <w:rsid w:val="6A4548E3"/>
    <w:rsid w:val="73986FF2"/>
    <w:rsid w:val="7A10566E"/>
    <w:rsid w:val="7A4631C4"/>
    <w:rsid w:val="7D393E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1"/>
    <w:rPr>
      <w:rFonts w:ascii="仿宋" w:hAnsi="仿宋" w:eastAsia="仿宋" w:cs="仿宋"/>
      <w:sz w:val="32"/>
      <w:szCs w:val="32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  <w:style w:type="character" w:customStyle="1" w:styleId="8">
    <w:name w:val="正文文本 Char"/>
    <w:link w:val="2"/>
    <w:qFormat/>
    <w:uiPriority w:val="1"/>
    <w:rPr>
      <w:rFonts w:ascii="仿宋" w:hAnsi="仿宋" w:eastAsia="仿宋" w:cs="仿宋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1088</Words>
  <Characters>1188</Characters>
  <TotalTime>75</TotalTime>
  <ScaleCrop>false</ScaleCrop>
  <LinksUpToDate>false</LinksUpToDate>
  <CharactersWithSpaces>1188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2024-12-16T02:50:00Z</dcterms:created>
  <dc:creator>Administrator</dc:creator>
  <cp:lastModifiedBy>Administrator</cp:lastModifiedBy>
  <cp:lastPrinted>2025-06-12T01:47:00Z</cp:lastPrinted>
  <dcterms:modified xsi:type="dcterms:W3CDTF">2025-10-16T08:39:33Z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2024-12-16T00:00:00Z</vt:filetime>
  </property>
  <property fmtid="{D5CDD505-2E9C-101B-9397-08002B2CF9AE}" pid="5" name="KSOProductBuildVer">
    <vt:lpwstr>2052-11.8.2.9022</vt:lpwstr>
  </property>
  <property fmtid="{D5CDD505-2E9C-101B-9397-08002B2CF9AE}" pid="6" name="ICV">
    <vt:lpwstr>5928D8D724EE4097BC3E49DC26119C48_13</vt:lpwstr>
  </property>
</Properties>
</file>